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E5040" w14:textId="3D27F2C4" w:rsidR="00E95080" w:rsidRDefault="00E95080" w:rsidP="00E95080">
      <w:pPr>
        <w:jc w:val="center"/>
        <w:rPr>
          <w:b/>
          <w:bCs/>
          <w:u w:val="single"/>
          <w:lang w:val="en-US"/>
        </w:rPr>
      </w:pPr>
      <w:r w:rsidRPr="00E95080">
        <w:rPr>
          <w:b/>
          <w:bCs/>
          <w:u w:val="single"/>
          <w:lang w:val="en-US"/>
        </w:rPr>
        <w:t>Week 5</w:t>
      </w:r>
    </w:p>
    <w:p w14:paraId="16589EB8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9-2 Why is the term direct costing a misnomer? </w:t>
      </w:r>
    </w:p>
    <w:p w14:paraId="203397BC" w14:textId="7650D718" w:rsidR="00E95080" w:rsidRP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9-3 Do companies in either the service sector or the merchandising sector </w:t>
      </w:r>
      <w:proofErr w:type="gramStart"/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make</w:t>
      </w:r>
      <w:proofErr w:type="gramEnd"/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choices about absorption costing versus variable costing?</w:t>
      </w:r>
    </w:p>
    <w:p w14:paraId="7CE0F375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9-6 The main trouble with variable costing is that it ignores the increasing importance of fixed costs in manufacturing companies. Do you agree? Why?</w:t>
      </w:r>
    </w:p>
    <w:p w14:paraId="6C2AB5E5" w14:textId="5CE8D7DF" w:rsidR="00E95080" w:rsidRP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9-7 Give an example of how, under absorption costing, operating income could fall even though the unit sales level rises. </w:t>
      </w:r>
    </w:p>
    <w:p w14:paraId="6103F47B" w14:textId="77777777" w:rsidR="00E95080" w:rsidRP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9-8 What are the factors that affect the breakeven point under (a) variable costing and (b) absorption costing?</w:t>
      </w:r>
    </w:p>
    <w:p w14:paraId="75FBF36F" w14:textId="77777777" w:rsidR="00E95080" w:rsidRP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9-10 What are two ways of reducing the negative aspects associated with using absorption costing to evaluate the performance of a plant manager?</w:t>
      </w:r>
    </w:p>
    <w:p w14:paraId="7699B091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9-16 In comparing the absorption and variable cost methods, each of the following statements is true except: </w:t>
      </w:r>
    </w:p>
    <w:p w14:paraId="00B91175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a. SG&amp;A fixed expenses are not included in inventory in either method. </w:t>
      </w:r>
    </w:p>
    <w:p w14:paraId="52CB6DDD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Only the absorption method may be used for external financial reporting. </w:t>
      </w:r>
    </w:p>
    <w:p w14:paraId="53AEF450" w14:textId="77777777" w:rsid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c. Variable costing charges fixed overhead costs to the period they are incurred. </w:t>
      </w:r>
    </w:p>
    <w:p w14:paraId="127FB566" w14:textId="61429DDC" w:rsidR="00E95080" w:rsidRPr="00E95080" w:rsidRDefault="00E95080" w:rsidP="00E9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bookmarkStart w:id="0" w:name="_GoBack"/>
      <w:bookmarkEnd w:id="0"/>
      <w:r w:rsidRPr="00E95080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d. When inventory increases over the period, variable net income will exceed absorption net income.</w:t>
      </w:r>
    </w:p>
    <w:p w14:paraId="409929DC" w14:textId="77777777" w:rsidR="00E95080" w:rsidRPr="00E95080" w:rsidRDefault="00E95080" w:rsidP="00E95080">
      <w:pPr>
        <w:rPr>
          <w:lang w:val="en-US"/>
        </w:rPr>
      </w:pPr>
    </w:p>
    <w:sectPr w:rsidR="00E95080" w:rsidRPr="00E95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80"/>
    <w:rsid w:val="00E9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AE85"/>
  <w15:chartTrackingRefBased/>
  <w15:docId w15:val="{487DCCFF-B0A6-45F9-AB0D-D821FB2C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8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2019-10-17T23:23:00Z</dcterms:created>
  <dcterms:modified xsi:type="dcterms:W3CDTF">2019-10-17T23:28:00Z</dcterms:modified>
</cp:coreProperties>
</file>